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b w:val="1"/>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Soriana y Kueski anuncian alianza para ofrecer pagos “Compra ahora, paga después”</w:t>
      </w:r>
    </w:p>
    <w:p w:rsidR="00000000" w:rsidDel="00000000" w:rsidP="00000000" w:rsidRDefault="00000000" w:rsidRPr="00000000" w14:paraId="00000003">
      <w:pPr>
        <w:rPr>
          <w:rFonts w:ascii="Tahoma" w:cs="Tahoma" w:eastAsia="Tahoma" w:hAnsi="Tahoma"/>
          <w:b w:val="1"/>
          <w:color w:val="b6be00"/>
          <w:sz w:val="28"/>
          <w:szCs w:val="28"/>
        </w:rPr>
      </w:pPr>
      <w:r w:rsidDel="00000000" w:rsidR="00000000" w:rsidRPr="00000000">
        <w:rPr>
          <w:rtl w:val="0"/>
        </w:rPr>
      </w:r>
    </w:p>
    <w:p w:rsidR="00000000" w:rsidDel="00000000" w:rsidP="00000000" w:rsidRDefault="00000000" w:rsidRPr="00000000" w14:paraId="00000004">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Monterrey, Nuevo León a 29 de mayo de 2025-. </w:t>
      </w:r>
      <w:r w:rsidDel="00000000" w:rsidR="00000000" w:rsidRPr="00000000">
        <w:rPr>
          <w:rFonts w:ascii="Tahoma" w:cs="Tahoma" w:eastAsia="Tahoma" w:hAnsi="Tahoma"/>
          <w:sz w:val="22"/>
          <w:szCs w:val="22"/>
          <w:rtl w:val="0"/>
        </w:rPr>
        <w:t xml:space="preserve">En línea con su compromiso con la innovación y facilidades de pago para sus clientes, Organización Soriana </w:t>
      </w:r>
      <w:r w:rsidDel="00000000" w:rsidR="00000000" w:rsidRPr="00000000">
        <w:rPr>
          <w:rFonts w:ascii="Tahoma" w:cs="Tahoma" w:eastAsia="Tahoma" w:hAnsi="Tahoma"/>
          <w:sz w:val="22"/>
          <w:szCs w:val="22"/>
          <w:rtl w:val="0"/>
        </w:rPr>
        <w:t xml:space="preserve">anuncia</w:t>
      </w:r>
      <w:r w:rsidDel="00000000" w:rsidR="00000000" w:rsidRPr="00000000">
        <w:rPr>
          <w:rFonts w:ascii="Tahoma" w:cs="Tahoma" w:eastAsia="Tahoma" w:hAnsi="Tahoma"/>
          <w:sz w:val="22"/>
          <w:szCs w:val="22"/>
          <w:rtl w:val="0"/>
        </w:rPr>
        <w:t xml:space="preserve"> una alianza estratégica con la plataforma mexicana Kueski, bajo el esquema “compra ahora y paga después”. Desde el 21 de mayo, ya está disponible Kueski Pay como método de pago en la tienda en línea de Soriana, sin necesidad de tarjeta de crédito.</w:t>
      </w:r>
    </w:p>
    <w:p w:rsidR="00000000" w:rsidDel="00000000" w:rsidP="00000000" w:rsidRDefault="00000000" w:rsidRPr="00000000" w14:paraId="0000000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6">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“En Soriana escuchamos constantemente a nuestros clientes para entender sus nuevas formas de consumo y adaptarnos a ellas. La incorporación de Kueski Pay nos permite ofrecer alternativas de pago innovadoras que facilitan la vida de las personas y fortalecen nuestra estrategia digital, especialmente en temporadas como Hot Sale, donde buscamos opciones que impulsen una experiencia de compra ágil y conveniente”</w:t>
      </w:r>
      <w:r w:rsidDel="00000000" w:rsidR="00000000" w:rsidRPr="00000000">
        <w:rPr>
          <w:rFonts w:ascii="Tahoma" w:cs="Tahoma" w:eastAsia="Tahoma" w:hAnsi="Tahoma"/>
          <w:i w:val="1"/>
          <w:sz w:val="22"/>
          <w:szCs w:val="22"/>
          <w:rtl w:val="0"/>
        </w:rPr>
        <w:t xml:space="preserve"> </w:t>
      </w:r>
      <w:r w:rsidDel="00000000" w:rsidR="00000000" w:rsidRPr="00000000">
        <w:rPr>
          <w:rFonts w:ascii="Tahoma" w:cs="Tahoma" w:eastAsia="Tahoma" w:hAnsi="Tahoma"/>
          <w:sz w:val="22"/>
          <w:szCs w:val="22"/>
          <w:rtl w:val="0"/>
        </w:rPr>
        <w:t xml:space="preserve">señaló Marco Antonio Monroy Esquivel, director de Negocios Digitales de Organización Soriana.</w:t>
      </w:r>
    </w:p>
    <w:p w:rsidR="00000000" w:rsidDel="00000000" w:rsidP="00000000" w:rsidRDefault="00000000" w:rsidRPr="00000000" w14:paraId="00000007">
      <w:pPr>
        <w:spacing w:after="240" w:before="240"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 esta integración, los usuarios podrán acceder a financiamiento inmediato, pagar sus compras en quincenas y disfrutar de una experiencia 100% digital, sin trámites bancarios ni procesos complejos. </w:t>
      </w:r>
    </w:p>
    <w:p w:rsidR="00000000" w:rsidDel="00000000" w:rsidP="00000000" w:rsidRDefault="00000000" w:rsidRPr="00000000" w14:paraId="0000000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“Siguiendo con la innovación y expansión de soluciones en Soriana, durante el siguiente trimestre del año estaremos integrando Kueski Pay en todas las sucursales a lo largo de todos los estados del país. Los clientes podrán pagar por medio de su App Kueski en las cajas de Soriana logrando acceder a todos los descuentos y beneficios de Soriana YA!” mencionó Mauricio Hinojosa Sada, subdirector de Desarrollo de Servicios Financieros de Organización Soriana.</w:t>
      </w:r>
    </w:p>
    <w:p w:rsidR="00000000" w:rsidDel="00000000" w:rsidP="00000000" w:rsidRDefault="00000000" w:rsidRPr="00000000" w14:paraId="0000000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A">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 más de 25 millones de préstamos depositados, Kueski es uno de los métodos de pago de mayor crecimiento en México (excluyendo SPEI), lo que refuerza la solidez y confianza detrás de esta solución. Como parte del lanzamiento, los nuevos usuarios podrán obtener un 25% de descuento en su primera compra al pagar con Kueski Pay y usar el código KUESKINUEVO25 del 26 de mayo al 03 de junio del 2025. </w:t>
      </w:r>
    </w:p>
    <w:p w:rsidR="00000000" w:rsidDel="00000000" w:rsidP="00000000" w:rsidRDefault="00000000" w:rsidRPr="00000000" w14:paraId="0000000B">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 integración con Soriana refuerza nuestro compromiso de estar donde más impacto generamos: cerca del día a día de millones de mexicanos. Aliarnos con una de las cadenas de autoservicio más importantes del país nos permite seguir ampliando el acceso a soluciones de pago flexibles y confiables, justo en los momentos y lugares que más importan para nuestros usuarios,” comentó Lisset May, vicepresidenta de ventas de Kueski.</w:t>
      </w:r>
    </w:p>
    <w:p w:rsidR="00000000" w:rsidDel="00000000" w:rsidP="00000000" w:rsidRDefault="00000000" w:rsidRPr="00000000" w14:paraId="0000000D">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 colaboración representa un paso importante en el proceso de transformación digital de Organización Soriana, reafirmando su compromiso por ofrecer soluciones modernas, centradas en el cliente y alineadas con las tendencias actuales de consumo, que faciliten el acceso a productos esenciales de forma segura y flexible.</w:t>
      </w:r>
    </w:p>
    <w:p w:rsidR="00000000" w:rsidDel="00000000" w:rsidP="00000000" w:rsidRDefault="00000000" w:rsidRPr="00000000" w14:paraId="0000000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2">
      <w:pPr>
        <w:shd w:fill="ffffff" w:val="clea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Acerca de Organización Soriana</w:t>
      </w:r>
    </w:p>
    <w:p w:rsidR="00000000" w:rsidDel="00000000" w:rsidP="00000000" w:rsidRDefault="00000000" w:rsidRPr="00000000" w14:paraId="00000013">
      <w:pPr>
        <w:shd w:fill="ffffff" w:val="clear"/>
        <w:jc w:val="both"/>
        <w:rPr>
          <w:rFonts w:ascii="Tahoma" w:cs="Tahoma" w:eastAsia="Tahoma" w:hAnsi="Tahoma"/>
          <w:sz w:val="18"/>
          <w:szCs w:val="18"/>
        </w:rPr>
      </w:pPr>
      <w:r w:rsidDel="00000000" w:rsidR="00000000" w:rsidRPr="00000000">
        <w:rPr>
          <w:rFonts w:ascii="Tahoma" w:cs="Tahoma" w:eastAsia="Tahoma" w:hAnsi="Tahoma"/>
          <w:b w:val="1"/>
          <w:sz w:val="18"/>
          <w:szCs w:val="18"/>
          <w:rtl w:val="0"/>
        </w:rPr>
        <w:br w:type="textWrapping"/>
        <w:t xml:space="preserve">Organización Soriana, S.A. de C.V</w:t>
      </w:r>
      <w:r w:rsidDel="00000000" w:rsidR="00000000" w:rsidRPr="00000000">
        <w:rPr>
          <w:rFonts w:ascii="Tahoma" w:cs="Tahoma" w:eastAsia="Tahoma" w:hAnsi="Tahoma"/>
          <w:sz w:val="18"/>
          <w:szCs w:val="18"/>
          <w:rtl w:val="0"/>
        </w:rPr>
        <w:t xml:space="preserve"> es una empresa del sector comercial en México de capital 100% mexicano fundada en 1968. Con una estrategia multiformato, Soriana opera 781 tiendas de autoservicio, 40 clubes de precios y su plataforma en línea </w:t>
      </w:r>
      <w:hyperlink r:id="rId7">
        <w:r w:rsidDel="00000000" w:rsidR="00000000" w:rsidRPr="00000000">
          <w:rPr>
            <w:rFonts w:ascii="Tahoma" w:cs="Tahoma" w:eastAsia="Tahoma" w:hAnsi="Tahoma"/>
            <w:color w:val="0000ff"/>
            <w:sz w:val="18"/>
            <w:szCs w:val="18"/>
            <w:u w:val="single"/>
            <w:rtl w:val="0"/>
          </w:rPr>
          <w:t xml:space="preserve">www.soriana.com</w:t>
        </w:r>
      </w:hyperlink>
      <w:r w:rsidDel="00000000" w:rsidR="00000000" w:rsidRPr="00000000">
        <w:rPr>
          <w:rFonts w:ascii="Tahoma" w:cs="Tahoma" w:eastAsia="Tahoma" w:hAnsi="Tahoma"/>
          <w:color w:val="0000ff"/>
          <w:sz w:val="18"/>
          <w:szCs w:val="18"/>
          <w:u w:val="single"/>
          <w:rtl w:val="0"/>
        </w:rPr>
        <w:t xml:space="preserve"> y www.cityclub.com.mx</w:t>
      </w:r>
      <w:r w:rsidDel="00000000" w:rsidR="00000000" w:rsidRPr="00000000">
        <w:rPr>
          <w:rFonts w:ascii="Tahoma" w:cs="Tahoma" w:eastAsia="Tahoma" w:hAnsi="Tahoma"/>
          <w:sz w:val="18"/>
          <w:szCs w:val="18"/>
          <w:rtl w:val="0"/>
        </w:rPr>
        <w:t xml:space="preserve">. Sus acciones cotizan en la Bolsa Mexicana de Valores desde 1987 con la clave de pizarra SORIANA.</w:t>
      </w:r>
    </w:p>
    <w:p w:rsidR="00000000" w:rsidDel="00000000" w:rsidP="00000000" w:rsidRDefault="00000000" w:rsidRPr="00000000" w14:paraId="00000014">
      <w:pPr>
        <w:shd w:fill="ffffff" w:val="clear"/>
        <w:rPr>
          <w:rFonts w:ascii="Tahoma" w:cs="Tahoma" w:eastAsia="Tahoma" w:hAnsi="Tahoma"/>
          <w:color w:val="222222"/>
          <w:sz w:val="18"/>
          <w:szCs w:val="18"/>
        </w:rPr>
      </w:pPr>
      <w:r w:rsidDel="00000000" w:rsidR="00000000" w:rsidRPr="00000000">
        <w:rPr>
          <w:rFonts w:ascii="Tahoma" w:cs="Tahoma" w:eastAsia="Tahoma" w:hAnsi="Tahoma"/>
          <w:color w:val="222222"/>
          <w:sz w:val="18"/>
          <w:szCs w:val="18"/>
          <w:rtl w:val="0"/>
        </w:rPr>
        <w:t xml:space="preserve">Para más información visita: </w:t>
      </w:r>
      <w:hyperlink r:id="rId8">
        <w:r w:rsidDel="00000000" w:rsidR="00000000" w:rsidRPr="00000000">
          <w:rPr>
            <w:rFonts w:ascii="Tahoma" w:cs="Tahoma" w:eastAsia="Tahoma" w:hAnsi="Tahoma"/>
            <w:color w:val="1155cc"/>
            <w:sz w:val="18"/>
            <w:szCs w:val="18"/>
            <w:u w:val="single"/>
            <w:rtl w:val="0"/>
          </w:rPr>
          <w:t xml:space="preserve">www.organizacionsoriana.com</w:t>
        </w:r>
      </w:hyperlink>
      <w:r w:rsidDel="00000000" w:rsidR="00000000" w:rsidRPr="00000000">
        <w:rPr>
          <w:rFonts w:ascii="Tahoma" w:cs="Tahoma" w:eastAsia="Tahoma" w:hAnsi="Tahoma"/>
          <w:color w:val="222222"/>
          <w:sz w:val="18"/>
          <w:szCs w:val="18"/>
          <w:rtl w:val="0"/>
        </w:rPr>
        <w:t xml:space="preserve"> Redes Sociales: FB @org.soriana y Tik Tok @OrgSoriana</w:t>
      </w:r>
    </w:p>
    <w:p w:rsidR="00000000" w:rsidDel="00000000" w:rsidP="00000000" w:rsidRDefault="00000000" w:rsidRPr="00000000" w14:paraId="00000015">
      <w:pPr>
        <w:shd w:fill="ffffff" w:val="clear"/>
        <w:jc w:val="both"/>
        <w:rPr>
          <w:rFonts w:ascii="Tahoma" w:cs="Tahoma" w:eastAsia="Tahoma" w:hAnsi="Tahoma"/>
          <w:color w:val="222222"/>
          <w:sz w:val="18"/>
          <w:szCs w:val="18"/>
        </w:rPr>
      </w:pPr>
      <w:r w:rsidDel="00000000" w:rsidR="00000000" w:rsidRPr="00000000">
        <w:rPr>
          <w:rtl w:val="0"/>
        </w:rPr>
      </w:r>
    </w:p>
    <w:p w:rsidR="00000000" w:rsidDel="00000000" w:rsidP="00000000" w:rsidRDefault="00000000" w:rsidRPr="00000000" w14:paraId="00000016">
      <w:pPr>
        <w:shd w:fill="ffffff" w:val="clear"/>
        <w:jc w:val="both"/>
        <w:rPr>
          <w:rFonts w:ascii="Tahoma" w:cs="Tahoma" w:eastAsia="Tahoma" w:hAnsi="Tahoma"/>
          <w:b w:val="1"/>
          <w:color w:val="222222"/>
          <w:sz w:val="18"/>
          <w:szCs w:val="18"/>
        </w:rPr>
      </w:pPr>
      <w:r w:rsidDel="00000000" w:rsidR="00000000" w:rsidRPr="00000000">
        <w:rPr>
          <w:rFonts w:ascii="Tahoma" w:cs="Tahoma" w:eastAsia="Tahoma" w:hAnsi="Tahoma"/>
          <w:b w:val="1"/>
          <w:color w:val="222222"/>
          <w:sz w:val="18"/>
          <w:szCs w:val="18"/>
          <w:rtl w:val="0"/>
        </w:rPr>
        <w:t xml:space="preserve">Acerca de Kueski</w:t>
      </w:r>
    </w:p>
    <w:p w:rsidR="00000000" w:rsidDel="00000000" w:rsidP="00000000" w:rsidRDefault="00000000" w:rsidRPr="00000000" w14:paraId="00000017">
      <w:pPr>
        <w:shd w:fill="ffffff" w:val="clear"/>
        <w:jc w:val="both"/>
        <w:rPr>
          <w:rFonts w:ascii="Tahoma" w:cs="Tahoma" w:eastAsia="Tahoma" w:hAnsi="Tahoma"/>
          <w:b w:val="1"/>
          <w:color w:val="222222"/>
          <w:sz w:val="18"/>
          <w:szCs w:val="18"/>
        </w:rPr>
      </w:pPr>
      <w:r w:rsidDel="00000000" w:rsidR="00000000" w:rsidRPr="00000000">
        <w:rPr>
          <w:rtl w:val="0"/>
        </w:rPr>
      </w:r>
    </w:p>
    <w:p w:rsidR="00000000" w:rsidDel="00000000" w:rsidP="00000000" w:rsidRDefault="00000000" w:rsidRPr="00000000" w14:paraId="00000018">
      <w:pPr>
        <w:jc w:val="both"/>
        <w:rPr>
          <w:rFonts w:ascii="Tahoma" w:cs="Tahoma" w:eastAsia="Tahoma" w:hAnsi="Tahoma"/>
          <w:color w:val="222222"/>
          <w:sz w:val="18"/>
          <w:szCs w:val="18"/>
        </w:rPr>
      </w:pPr>
      <w:r w:rsidDel="00000000" w:rsidR="00000000" w:rsidRPr="00000000">
        <w:rPr>
          <w:rFonts w:ascii="Tahoma" w:cs="Tahoma" w:eastAsia="Tahoma" w:hAnsi="Tahoma"/>
          <w:b w:val="1"/>
          <w:color w:val="222222"/>
          <w:sz w:val="18"/>
          <w:szCs w:val="18"/>
          <w:rtl w:val="0"/>
        </w:rPr>
        <w:t xml:space="preserve">Kueski</w:t>
      </w:r>
      <w:r w:rsidDel="00000000" w:rsidR="00000000" w:rsidRPr="00000000">
        <w:rPr>
          <w:rFonts w:ascii="Tahoma" w:cs="Tahoma" w:eastAsia="Tahoma" w:hAnsi="Tahoma"/>
          <w:color w:val="222222"/>
          <w:sz w:val="18"/>
          <w:szCs w:val="18"/>
          <w:rtl w:val="0"/>
        </w:rPr>
        <w:t xml:space="preserve"> es la plataforma mexicana de compra ahora, paga después (BNPL) y crédito al consumidor en línea, conocida por sus servicios financieros innovadores. Su producto estrella, Kueski Pay, permite a los clientes realizar compras y pagar después, tanto en línea como en tiendas físicas. Además, la empresa ofrece préstamos en línea mediante su producto Kueski Préstamo Personal. Aplicando inteligencia artificial, Kueski mejora el acceso a servicios financieros a gran escala. Hasta la fecha, ha emitido más de 25 millones de préstamos en México, beneficiando a individuos y comercios. Actualmente, casi 30% de los principales comercios electrónicos en México ofrecen Kueski Pay como método de pago. Además, Kueski se destaca por su excelencia en producto con una calificación de 10 en sus productos financieros y una valoración de 5 estrellas en la CONDUSEF.</w:t>
      </w:r>
    </w:p>
    <w:p w:rsidR="00000000" w:rsidDel="00000000" w:rsidP="00000000" w:rsidRDefault="00000000" w:rsidRPr="00000000" w14:paraId="00000019">
      <w:pPr>
        <w:jc w:val="both"/>
        <w:rPr>
          <w:rFonts w:ascii="Tahoma" w:cs="Tahoma" w:eastAsia="Tahoma" w:hAnsi="Tahoma"/>
          <w:color w:val="222222"/>
          <w:sz w:val="18"/>
          <w:szCs w:val="18"/>
        </w:rPr>
      </w:pPr>
      <w:r w:rsidDel="00000000" w:rsidR="00000000" w:rsidRPr="00000000">
        <w:rPr>
          <w:rtl w:val="0"/>
        </w:rPr>
      </w:r>
    </w:p>
    <w:p w:rsidR="00000000" w:rsidDel="00000000" w:rsidP="00000000" w:rsidRDefault="00000000" w:rsidRPr="00000000" w14:paraId="0000001A">
      <w:pPr>
        <w:jc w:val="both"/>
        <w:rPr>
          <w:rFonts w:ascii="Tahoma" w:cs="Tahoma" w:eastAsia="Tahoma" w:hAnsi="Tahoma"/>
          <w:sz w:val="20"/>
          <w:szCs w:val="20"/>
        </w:rPr>
      </w:pPr>
      <w:r w:rsidDel="00000000" w:rsidR="00000000" w:rsidRPr="00000000">
        <w:rPr>
          <w:rFonts w:ascii="Tahoma" w:cs="Tahoma" w:eastAsia="Tahoma" w:hAnsi="Tahoma"/>
          <w:color w:val="222222"/>
          <w:sz w:val="18"/>
          <w:szCs w:val="18"/>
          <w:rtl w:val="0"/>
        </w:rPr>
        <w:t xml:space="preserve">Para más información, visita: </w:t>
      </w:r>
      <w:r w:rsidDel="00000000" w:rsidR="00000000" w:rsidRPr="00000000">
        <w:rPr>
          <w:rFonts w:ascii="Tahoma" w:cs="Tahoma" w:eastAsia="Tahoma" w:hAnsi="Tahoma"/>
          <w:color w:val="4f81bd"/>
          <w:sz w:val="18"/>
          <w:szCs w:val="18"/>
          <w:u w:val="single"/>
          <w:rtl w:val="0"/>
        </w:rPr>
        <w:t xml:space="preserve">www.kueskipay.com</w:t>
      </w:r>
      <w:r w:rsidDel="00000000" w:rsidR="00000000" w:rsidRPr="00000000">
        <w:rPr>
          <w:rtl w:val="0"/>
        </w:rPr>
      </w:r>
    </w:p>
    <w:p w:rsidR="00000000" w:rsidDel="00000000" w:rsidP="00000000" w:rsidRDefault="00000000" w:rsidRPr="00000000" w14:paraId="0000001B">
      <w:pPr>
        <w:jc w:val="both"/>
        <w:rPr>
          <w:rFonts w:ascii="Tahoma" w:cs="Tahoma" w:eastAsia="Tahoma" w:hAnsi="Tahoma"/>
          <w:b w:val="1"/>
          <w:color w:val="ff0000"/>
          <w:sz w:val="16"/>
          <w:szCs w:val="16"/>
        </w:rPr>
      </w:pPr>
      <w:r w:rsidDel="00000000" w:rsidR="00000000" w:rsidRPr="00000000">
        <w:rPr>
          <w:rtl w:val="0"/>
        </w:rPr>
      </w:r>
    </w:p>
    <w:p w:rsidR="00000000" w:rsidDel="00000000" w:rsidP="00000000" w:rsidRDefault="00000000" w:rsidRPr="00000000" w14:paraId="0000001C">
      <w:pPr>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D">
      <w:pPr>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Contacto de agencia</w:t>
      </w:r>
    </w:p>
    <w:p w:rsidR="00000000" w:rsidDel="00000000" w:rsidP="00000000" w:rsidRDefault="00000000" w:rsidRPr="00000000" w14:paraId="0000001E">
      <w:pPr>
        <w:jc w:val="both"/>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1F">
      <w:pPr>
        <w:jc w:val="both"/>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Zaira Arriaga</w:t>
      </w:r>
    </w:p>
    <w:p w:rsidR="00000000" w:rsidDel="00000000" w:rsidP="00000000" w:rsidRDefault="00000000" w:rsidRPr="00000000" w14:paraId="00000020">
      <w:pPr>
        <w:jc w:val="both"/>
        <w:rPr>
          <w:rFonts w:ascii="Tahoma" w:cs="Tahoma" w:eastAsia="Tahoma" w:hAnsi="Tahoma"/>
          <w:sz w:val="16"/>
          <w:szCs w:val="16"/>
        </w:rPr>
      </w:pPr>
      <w:hyperlink r:id="rId9">
        <w:r w:rsidDel="00000000" w:rsidR="00000000" w:rsidRPr="00000000">
          <w:rPr>
            <w:rFonts w:ascii="Tahoma" w:cs="Tahoma" w:eastAsia="Tahoma" w:hAnsi="Tahoma"/>
            <w:color w:val="1155cc"/>
            <w:sz w:val="16"/>
            <w:szCs w:val="16"/>
            <w:u w:val="single"/>
            <w:rtl w:val="0"/>
          </w:rPr>
          <w:t xml:space="preserve">zaira.arriaga@another.co</w:t>
        </w:r>
      </w:hyperlink>
      <w:r w:rsidDel="00000000" w:rsidR="00000000" w:rsidRPr="00000000">
        <w:rPr>
          <w:rFonts w:ascii="Tahoma" w:cs="Tahoma" w:eastAsia="Tahoma" w:hAnsi="Tahoma"/>
          <w:sz w:val="16"/>
          <w:szCs w:val="16"/>
          <w:rtl w:val="0"/>
        </w:rPr>
        <w:t xml:space="preserve"> 55 5463 7520</w:t>
      </w:r>
      <w:r w:rsidDel="00000000" w:rsidR="00000000" w:rsidRPr="00000000">
        <w:rPr>
          <w:rtl w:val="0"/>
        </w:rPr>
      </w:r>
    </w:p>
    <w:p w:rsidR="00000000" w:rsidDel="00000000" w:rsidP="00000000" w:rsidRDefault="00000000" w:rsidRPr="00000000" w14:paraId="00000021">
      <w:pPr>
        <w:jc w:val="both"/>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22">
      <w:pPr>
        <w:jc w:val="both"/>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Amayrany Hérnandez</w:t>
      </w:r>
    </w:p>
    <w:p w:rsidR="00000000" w:rsidDel="00000000" w:rsidP="00000000" w:rsidRDefault="00000000" w:rsidRPr="00000000" w14:paraId="00000023">
      <w:pPr>
        <w:jc w:val="both"/>
        <w:rPr>
          <w:rFonts w:ascii="Tahoma" w:cs="Tahoma" w:eastAsia="Tahoma" w:hAnsi="Tahoma"/>
          <w:sz w:val="16"/>
          <w:szCs w:val="16"/>
        </w:rPr>
      </w:pPr>
      <w:hyperlink r:id="rId10">
        <w:r w:rsidDel="00000000" w:rsidR="00000000" w:rsidRPr="00000000">
          <w:rPr>
            <w:rFonts w:ascii="Tahoma" w:cs="Tahoma" w:eastAsia="Tahoma" w:hAnsi="Tahoma"/>
            <w:color w:val="1155cc"/>
            <w:sz w:val="16"/>
            <w:szCs w:val="16"/>
            <w:u w:val="single"/>
            <w:rtl w:val="0"/>
          </w:rPr>
          <w:t xml:space="preserve">amayrany.hernandez@another.co</w:t>
        </w:r>
      </w:hyperlink>
      <w:r w:rsidDel="00000000" w:rsidR="00000000" w:rsidRPr="00000000">
        <w:rPr>
          <w:rFonts w:ascii="Tahoma" w:cs="Tahoma" w:eastAsia="Tahoma" w:hAnsi="Tahoma"/>
          <w:sz w:val="16"/>
          <w:szCs w:val="16"/>
          <w:rtl w:val="0"/>
        </w:rPr>
        <w:t xml:space="preserve"> 55 1301 3521</w:t>
      </w:r>
    </w:p>
    <w:sectPr>
      <w:headerReference r:id="rId11" w:type="default"/>
      <w:footerReference r:id="rId12" w:type="default"/>
      <w:pgSz w:h="15840" w:w="12240" w:orient="portrait"/>
      <w:pgMar w:bottom="1440" w:top="1797" w:left="1440" w:right="1183" w:header="72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680"/>
        <w:tab w:val="right" w:leader="none" w:pos="9360"/>
      </w:tabs>
      <w:jc w:val="both"/>
      <w:rPr>
        <w:color w:val="000000"/>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jc w:val="right"/>
      <w:rPr>
        <w:rFonts w:ascii="Tahoma" w:cs="Tahoma" w:eastAsia="Tahoma" w:hAnsi="Tahoma"/>
        <w:color w:val="ff0000"/>
        <w:sz w:val="18"/>
        <w:szCs w:val="18"/>
      </w:rPr>
    </w:pPr>
    <w:r w:rsidDel="00000000" w:rsidR="00000000" w:rsidRPr="00000000">
      <w:rPr>
        <w:rFonts w:ascii="Tahoma" w:cs="Tahoma" w:eastAsia="Tahoma" w:hAnsi="Tahoma"/>
        <w:color w:val="000000"/>
        <w:sz w:val="20"/>
        <w:szCs w:val="20"/>
        <w:rtl w:val="0"/>
      </w:rPr>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85725</wp:posOffset>
          </wp:positionV>
          <wp:extent cx="1534160" cy="389890"/>
          <wp:effectExtent b="0" l="0" r="0" t="0"/>
          <wp:wrapSquare wrapText="bothSides" distB="0" distT="0" distL="0" distR="0"/>
          <wp:docPr id="128935240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4160" cy="3898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85725</wp:posOffset>
          </wp:positionV>
          <wp:extent cx="1664436" cy="423863"/>
          <wp:effectExtent b="0" l="0" r="0" t="0"/>
          <wp:wrapNone/>
          <wp:docPr id="128935240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4436" cy="423863"/>
                  </a:xfrm>
                  <a:prstGeom prst="rect"/>
                  <a:ln/>
                </pic:spPr>
              </pic:pic>
            </a:graphicData>
          </a:graphic>
        </wp:anchor>
      </w:drawing>
    </w:r>
  </w:p>
  <w:p w:rsidR="00000000" w:rsidDel="00000000" w:rsidP="00000000" w:rsidRDefault="00000000" w:rsidRPr="00000000" w14:paraId="00000025">
    <w:pPr>
      <w:tabs>
        <w:tab w:val="left" w:leader="none" w:pos="3135"/>
        <w:tab w:val="right" w:leader="none" w:pos="9617"/>
      </w:tabs>
      <w:rPr>
        <w:rFonts w:ascii="Tahoma" w:cs="Tahoma" w:eastAsia="Tahoma" w:hAnsi="Tahoma"/>
        <w:sz w:val="20"/>
        <w:szCs w:val="20"/>
      </w:rPr>
    </w:pPr>
    <w:r w:rsidDel="00000000" w:rsidR="00000000" w:rsidRPr="00000000">
      <w:rPr>
        <w:rFonts w:ascii="Tahoma" w:cs="Tahoma" w:eastAsia="Tahoma" w:hAnsi="Tahoma"/>
        <w:sz w:val="20"/>
        <w:szCs w:val="20"/>
        <w:rtl w:val="0"/>
      </w:rPr>
      <w:tab/>
      <w:tab/>
    </w:r>
    <w:r w:rsidDel="00000000" w:rsidR="00000000" w:rsidRPr="00000000">
      <w:rPr>
        <w:rFonts w:ascii="Tahoma" w:cs="Tahoma" w:eastAsia="Tahoma" w:hAnsi="Tahoma"/>
        <w:color w:val="000000"/>
        <w:sz w:val="20"/>
        <w:szCs w:val="20"/>
      </w:rPr>
      <w:drawing>
        <wp:inline distB="0" distT="0" distL="0" distR="0">
          <wp:extent cx="1861818" cy="443805"/>
          <wp:effectExtent b="0" l="0" r="0" t="0"/>
          <wp:docPr id="128935240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61818" cy="443805"/>
                  </a:xfrm>
                  <a:prstGeom prst="rect"/>
                  <a:ln/>
                </pic:spPr>
              </pic:pic>
            </a:graphicData>
          </a:graphic>
        </wp:inline>
      </w:drawing>
    </w:r>
    <w:r w:rsidDel="00000000" w:rsidR="00000000" w:rsidRPr="00000000">
      <w:rPr>
        <w:rFonts w:ascii="Tahoma" w:cs="Tahoma" w:eastAsia="Tahoma" w:hAnsi="Tahoma"/>
        <w:sz w:val="20"/>
        <w:szCs w:val="20"/>
        <w:rtl w:val="0"/>
      </w:rPr>
      <w:tab/>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jc w:val="right"/>
      <w:rPr>
        <w:rFonts w:ascii="Tahoma" w:cs="Tahoma" w:eastAsia="Tahoma" w:hAnsi="Tahoma"/>
        <w:color w:val="ff0000"/>
        <w:sz w:val="18"/>
        <w:szCs w:val="18"/>
      </w:rPr>
    </w:pPr>
    <w:r w:rsidDel="00000000" w:rsidR="00000000" w:rsidRPr="00000000">
      <w:rPr>
        <w:rFonts w:ascii="Tahoma" w:cs="Tahoma" w:eastAsia="Tahoma" w:hAnsi="Tahoma"/>
        <w:color w:val="000000"/>
        <w:sz w:val="20"/>
        <w:szCs w:val="20"/>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line="276" w:lineRule="auto"/>
      <w:outlineLvl w:val="0"/>
    </w:pPr>
    <w:rPr>
      <w:rFonts w:ascii="Calibri" w:cs="Calibri" w:eastAsia="Calibri" w:hAnsi="Calibri"/>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line="276" w:lineRule="auto"/>
      <w:outlineLvl w:val="1"/>
    </w:pPr>
    <w:rPr>
      <w:rFonts w:ascii="Calibri" w:cs="Calibri" w:eastAsia="Calibri" w:hAnsi="Calibri"/>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line="276" w:lineRule="auto"/>
      <w:outlineLvl w:val="2"/>
    </w:pPr>
    <w:rPr>
      <w:rFonts w:ascii="Calibri" w:cs="Calibri" w:eastAsia="Calibri" w:hAnsi="Calibri"/>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line="276" w:lineRule="auto"/>
      <w:outlineLvl w:val="3"/>
    </w:pPr>
    <w:rPr>
      <w:rFonts w:ascii="Calibri" w:cs="Calibri" w:eastAsia="Calibri" w:hAnsi="Calibri"/>
      <w:b w:val="1"/>
    </w:rPr>
  </w:style>
  <w:style w:type="paragraph" w:styleId="Ttulo5">
    <w:name w:val="heading 5"/>
    <w:basedOn w:val="Normal"/>
    <w:next w:val="Normal"/>
    <w:uiPriority w:val="9"/>
    <w:semiHidden w:val="1"/>
    <w:unhideWhenUsed w:val="1"/>
    <w:qFormat w:val="1"/>
    <w:pPr>
      <w:keepNext w:val="1"/>
      <w:keepLines w:val="1"/>
      <w:spacing w:after="40" w:before="220" w:line="276" w:lineRule="auto"/>
      <w:outlineLvl w:val="4"/>
    </w:pPr>
    <w:rPr>
      <w:rFonts w:ascii="Calibri" w:cs="Calibri" w:eastAsia="Calibri" w:hAnsi="Calibri"/>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line="276" w:lineRule="auto"/>
      <w:outlineLvl w:val="5"/>
    </w:pPr>
    <w:rPr>
      <w:rFonts w:ascii="Calibri" w:cs="Calibri" w:eastAsia="Calibri" w:hAnsi="Calibri"/>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line="276" w:lineRule="auto"/>
    </w:pPr>
    <w:rPr>
      <w:rFonts w:ascii="Calibri" w:cs="Calibri" w:eastAsia="Calibri" w:hAnsi="Calibri"/>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100" w:customStyle="1">
    <w:name w:val="Table Normal10"/>
    <w:tblPr>
      <w:tblCellMar>
        <w:top w:w="0.0" w:type="dxa"/>
        <w:left w:w="0.0" w:type="dxa"/>
        <w:bottom w:w="0.0" w:type="dxa"/>
        <w:right w:w="0.0" w:type="dxa"/>
      </w:tblCellMar>
    </w:tblPr>
  </w:style>
  <w:style w:type="table" w:styleId="TableNormal11" w:customStyle="1">
    <w:name w:val="Table Normal11"/>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line="276" w:lineRule="auto"/>
    </w:pPr>
    <w:rPr>
      <w:rFonts w:ascii="Georgia" w:cs="Georgia" w:eastAsia="Georgia" w:hAnsi="Georgia"/>
      <w:i w:val="1"/>
      <w:color w:val="666666"/>
      <w:sz w:val="48"/>
      <w:szCs w:val="48"/>
    </w:rPr>
  </w:style>
  <w:style w:type="paragraph" w:styleId="Revisin">
    <w:name w:val="Revision"/>
    <w:hidden w:val="1"/>
    <w:uiPriority w:val="99"/>
    <w:semiHidden w:val="1"/>
    <w:rsid w:val="009B034D"/>
  </w:style>
  <w:style w:type="character" w:styleId="Hipervnculo">
    <w:name w:val="Hyperlink"/>
    <w:basedOn w:val="Fuentedeprrafopredeter"/>
    <w:uiPriority w:val="99"/>
    <w:unhideWhenUsed w:val="1"/>
    <w:rsid w:val="00446312"/>
    <w:rPr>
      <w:color w:val="0000ff" w:themeColor="hyperlink"/>
      <w:u w:val="single"/>
    </w:rPr>
  </w:style>
  <w:style w:type="character" w:styleId="Mencinsinresolver">
    <w:name w:val="Unresolved Mention"/>
    <w:basedOn w:val="Fuentedeprrafopredeter"/>
    <w:uiPriority w:val="99"/>
    <w:semiHidden w:val="1"/>
    <w:unhideWhenUsed w:val="1"/>
    <w:rsid w:val="00446312"/>
    <w:rPr>
      <w:color w:val="605e5c"/>
      <w:shd w:color="auto" w:fill="e1dfdd" w:val="clear"/>
    </w:rPr>
  </w:style>
  <w:style w:type="character" w:styleId="Refdecomentario">
    <w:name w:val="annotation reference"/>
    <w:basedOn w:val="Fuentedeprrafopredeter"/>
    <w:uiPriority w:val="99"/>
    <w:semiHidden w:val="1"/>
    <w:unhideWhenUsed w:val="1"/>
    <w:rsid w:val="00BD6C4A"/>
    <w:rPr>
      <w:sz w:val="16"/>
      <w:szCs w:val="16"/>
    </w:rPr>
  </w:style>
  <w:style w:type="paragraph" w:styleId="Textocomentario">
    <w:name w:val="annotation text"/>
    <w:basedOn w:val="Normal"/>
    <w:link w:val="TextocomentarioCar"/>
    <w:uiPriority w:val="99"/>
    <w:unhideWhenUsed w:val="1"/>
    <w:rsid w:val="00BD6C4A"/>
    <w:rPr>
      <w:sz w:val="20"/>
      <w:szCs w:val="20"/>
    </w:rPr>
  </w:style>
  <w:style w:type="character" w:styleId="TextocomentarioCar" w:customStyle="1">
    <w:name w:val="Texto comentario Car"/>
    <w:basedOn w:val="Fuentedeprrafopredeter"/>
    <w:link w:val="Textocomentario"/>
    <w:uiPriority w:val="99"/>
    <w:rsid w:val="00BD6C4A"/>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D6C4A"/>
    <w:rPr>
      <w:b w:val="1"/>
      <w:bCs w:val="1"/>
    </w:rPr>
  </w:style>
  <w:style w:type="character" w:styleId="AsuntodelcomentarioCar" w:customStyle="1">
    <w:name w:val="Asunto del comentario Car"/>
    <w:basedOn w:val="TextocomentarioCar"/>
    <w:link w:val="Asuntodelcomentario"/>
    <w:uiPriority w:val="99"/>
    <w:semiHidden w:val="1"/>
    <w:rsid w:val="00BD6C4A"/>
    <w:rPr>
      <w:b w:val="1"/>
      <w:bCs w:val="1"/>
      <w:sz w:val="20"/>
      <w:szCs w:val="20"/>
    </w:rPr>
  </w:style>
  <w:style w:type="paragraph" w:styleId="Encabezado">
    <w:name w:val="header"/>
    <w:basedOn w:val="Normal"/>
    <w:link w:val="EncabezadoCar"/>
    <w:uiPriority w:val="99"/>
    <w:unhideWhenUsed w:val="1"/>
    <w:rsid w:val="000019C4"/>
    <w:pPr>
      <w:tabs>
        <w:tab w:val="center" w:pos="4419"/>
        <w:tab w:val="right" w:pos="8838"/>
      </w:tabs>
    </w:pPr>
  </w:style>
  <w:style w:type="character" w:styleId="EncabezadoCar" w:customStyle="1">
    <w:name w:val="Encabezado Car"/>
    <w:basedOn w:val="Fuentedeprrafopredeter"/>
    <w:link w:val="Encabezado"/>
    <w:uiPriority w:val="99"/>
    <w:rsid w:val="000019C4"/>
  </w:style>
  <w:style w:type="paragraph" w:styleId="Piedepgina">
    <w:name w:val="footer"/>
    <w:basedOn w:val="Normal"/>
    <w:link w:val="PiedepginaCar"/>
    <w:uiPriority w:val="99"/>
    <w:unhideWhenUsed w:val="1"/>
    <w:rsid w:val="000019C4"/>
    <w:pPr>
      <w:tabs>
        <w:tab w:val="center" w:pos="4419"/>
        <w:tab w:val="right" w:pos="8838"/>
      </w:tabs>
    </w:pPr>
  </w:style>
  <w:style w:type="character" w:styleId="PiedepginaCar" w:customStyle="1">
    <w:name w:val="Pie de página Car"/>
    <w:basedOn w:val="Fuentedeprrafopredeter"/>
    <w:link w:val="Piedepgina"/>
    <w:uiPriority w:val="99"/>
    <w:rsid w:val="000019C4"/>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mayrany.hernandez@another.co" TargetMode="External"/><Relationship Id="rId12" Type="http://schemas.openxmlformats.org/officeDocument/2006/relationships/footer" Target="footer1.xml"/><Relationship Id="rId9" Type="http://schemas.openxmlformats.org/officeDocument/2006/relationships/hyperlink" Target="mailto:zaira.arriaga@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oriana.com" TargetMode="External"/><Relationship Id="rId8" Type="http://schemas.openxmlformats.org/officeDocument/2006/relationships/hyperlink" Target="http://www.organizacionsorian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U9sJIX2ieZZtOSsJ3VkOdTLFQ==">CgMxLjA4AHIhMXdWd2VzZWJQb2VhUnhIaXNIY1kwYk4teWI1ekpMR1dO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2025-05-28T01:11:00Z</dcterms:created>
  <dc:creator>Barroso Ferriño, Samantha Estephania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0x01010017D50DB20A2CD6499EC314A5B6F339A9</vt:lpwstr>
  </property>
</Properties>
</file>